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df355da964791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12809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PETRA BERISLAVIĆA, TROGIR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808.547,11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863.132,52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917.457,30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856.442,24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6.690,28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512,33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6.690,28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prihodi poslovanja iznose 863.132,52 EUR, a ukupni rashodi poslovanja 856.442,24 EUR. Time je škola ostvarila višak prihoda poslovanja u iznosu od 6.690,28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3.792,00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9.106,34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240,1</w:t>
            </w:r>
          </w:p>
        </w:tc>
      </w:tr>
    </w:tbl>
    <w:p>
      <w:pPr>
        <w:spacing w:before="0" w:after="0"/>
      </w:pPr>
    </w:p>
    <w:p>
      <w:r>
        <w:t xml:space="preserve">Do povećanja izdataka za prekovremeni rad došlo je zbog nedostatka kadra uzrokovanog bolovanjem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932,52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4.807,00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515,5</w:t>
            </w:r>
          </w:p>
        </w:tc>
      </w:tr>
    </w:tbl>
    <w:p>
      <w:pPr>
        <w:spacing w:before="0" w:after="0"/>
      </w:pPr>
    </w:p>
    <w:p>
      <w:r>
        <w:t xml:space="preserve">Povećanje izdataka za čišćenje i servisiranje klima-uređaja.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2.954,42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2.954,42 EUR. Odnosi se na materijalne rashode s prekoračenjem do 60 dana. Riječ je o materijalnim rashodima za mjesec lipanj. Do prekoračenja je došlo jer uplata za materijalne rashode nije izvršena do kraja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izvještaj za nacionalno sufinanciranje odnosi se na projekt Učimo zajedno VII u iznosu od 633,72 EUR, dok se EU izvještaj za Europski socijalni fond odnosi na projekt Učimo zajedno VII u iznosu od 3.591,18 EUR.</w:t>
      </w:r>
    </w:p>
    <w:p>
      <w:r>
        <w:t xml:space="preserve">Projekt Učimo zajedno VII odnosi se na osiguravanje pomoćnika u nastavi koji svakodnevno pružaju podršku učenicima s teškoćama kako bi ostvarili što bolje obrazovne rezultate.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16c2d31c7a4c34" /></Relationships>
</file>